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973D9" w14:textId="77777777" w:rsidR="006D190D" w:rsidRPr="003B27CE" w:rsidRDefault="003B27CE" w:rsidP="006D190D">
      <w:pPr>
        <w:spacing w:after="0" w:line="360" w:lineRule="auto"/>
        <w:jc w:val="center"/>
        <w:rPr>
          <w:rFonts w:ascii="Candara" w:eastAsia="Arial Unicode MS" w:hAnsi="Candara" w:cs="Calibri"/>
          <w:b/>
          <w:color w:val="000000" w:themeColor="text1"/>
          <w:sz w:val="48"/>
          <w:szCs w:val="48"/>
        </w:rPr>
      </w:pPr>
      <w:r w:rsidRPr="003B27CE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>Semana Santa</w:t>
      </w:r>
    </w:p>
    <w:p w14:paraId="4E9E3A20" w14:textId="77777777" w:rsidR="00DE1849" w:rsidRPr="004F0F4F" w:rsidRDefault="00DE1849" w:rsidP="006D190D">
      <w:pPr>
        <w:spacing w:after="0" w:line="360" w:lineRule="auto"/>
        <w:jc w:val="center"/>
        <w:rPr>
          <w:rFonts w:ascii="Candara" w:eastAsia="Arial Unicode MS" w:hAnsi="Candara" w:cs="Calibri"/>
          <w:b/>
          <w:color w:val="000000" w:themeColor="text1"/>
          <w:sz w:val="48"/>
          <w:szCs w:val="48"/>
        </w:rPr>
      </w:pPr>
    </w:p>
    <w:p w14:paraId="2728C5DA" w14:textId="77777777" w:rsidR="004F0F4F" w:rsidRDefault="00F21607" w:rsidP="002B4822">
      <w:pPr>
        <w:spacing w:after="0" w:line="360" w:lineRule="auto"/>
        <w:jc w:val="center"/>
        <w:rPr>
          <w:rFonts w:ascii="Candara" w:eastAsia="Arial Unicode MS" w:hAnsi="Candara" w:cs="Calibri"/>
          <w:b/>
          <w:color w:val="000000" w:themeColor="text1"/>
          <w:sz w:val="48"/>
          <w:szCs w:val="48"/>
        </w:rPr>
      </w:pPr>
      <w:r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>M</w:t>
      </w:r>
      <w:r w:rsidR="00B928B4"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 xml:space="preserve">ergulhar no </w:t>
      </w:r>
      <w:r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 xml:space="preserve">grande </w:t>
      </w:r>
      <w:r w:rsidR="00B928B4"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>mistério</w:t>
      </w:r>
      <w:r w:rsidR="00565F1A"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 xml:space="preserve">: </w:t>
      </w:r>
    </w:p>
    <w:p w14:paraId="623B0912" w14:textId="77777777" w:rsidR="002C20D5" w:rsidRPr="004F0F4F" w:rsidRDefault="00565F1A" w:rsidP="006D190D">
      <w:pPr>
        <w:spacing w:after="0" w:line="360" w:lineRule="auto"/>
        <w:jc w:val="center"/>
        <w:rPr>
          <w:rFonts w:ascii="Candara" w:eastAsia="Arial Unicode MS" w:hAnsi="Candara" w:cs="Calibri"/>
          <w:b/>
          <w:color w:val="000000" w:themeColor="text1"/>
          <w:sz w:val="48"/>
          <w:szCs w:val="48"/>
        </w:rPr>
      </w:pPr>
      <w:r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>para</w:t>
      </w:r>
      <w:r w:rsidR="00B71AA4"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 xml:space="preserve"> </w:t>
      </w:r>
      <w:r w:rsidR="00D01C35" w:rsidRPr="004F0F4F">
        <w:rPr>
          <w:rFonts w:ascii="Candara" w:eastAsia="Arial Unicode MS" w:hAnsi="Candara" w:cs="Calibri"/>
          <w:b/>
          <w:color w:val="000000" w:themeColor="text1"/>
          <w:sz w:val="48"/>
          <w:szCs w:val="48"/>
        </w:rPr>
        <w:t>subir até às fontes</w:t>
      </w:r>
    </w:p>
    <w:p w14:paraId="0DD7DF51" w14:textId="77777777" w:rsidR="002C20D5" w:rsidRDefault="002C20D5" w:rsidP="002C20D5">
      <w:pPr>
        <w:spacing w:after="0" w:line="360" w:lineRule="auto"/>
        <w:rPr>
          <w:rFonts w:ascii="Candara" w:eastAsia="Arial Unicode MS" w:hAnsi="Candara" w:cs="Calibri"/>
          <w:b/>
          <w:smallCaps/>
          <w:color w:val="000000" w:themeColor="text1"/>
          <w:sz w:val="20"/>
          <w:szCs w:val="20"/>
        </w:rPr>
      </w:pPr>
    </w:p>
    <w:p w14:paraId="2D9EEFDB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45647EB3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3B5D6036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0840C087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3726A467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607DE772" w14:textId="77777777" w:rsidR="002D107C" w:rsidRDefault="002D107C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5924ED0F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</w:p>
    <w:p w14:paraId="78A740D2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 xml:space="preserve">Procura-me </w:t>
      </w:r>
    </w:p>
    <w:p w14:paraId="436EB977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onde já nenhuma morte</w:t>
      </w:r>
    </w:p>
    <w:p w14:paraId="09CDE9C5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é possível.</w:t>
      </w:r>
    </w:p>
    <w:p w14:paraId="3B8DCE62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E onde todos os muros</w:t>
      </w:r>
    </w:p>
    <w:p w14:paraId="4A3358B2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foram derrubados.</w:t>
      </w:r>
    </w:p>
    <w:p w14:paraId="2EDE8F5D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Saberás que sou eu,</w:t>
      </w:r>
    </w:p>
    <w:p w14:paraId="2B2EAF70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 xml:space="preserve">porque trago vestida </w:t>
      </w:r>
    </w:p>
    <w:p w14:paraId="390D2E8F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a túnica de linho,</w:t>
      </w:r>
    </w:p>
    <w:p w14:paraId="49BFF9BE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lisa e sem bordados.</w:t>
      </w:r>
    </w:p>
    <w:p w14:paraId="64DCC709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Levo na mão a chama da Vida</w:t>
      </w:r>
    </w:p>
    <w:p w14:paraId="04CC9C62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e tenho os cabelos</w:t>
      </w:r>
    </w:p>
    <w:p w14:paraId="38981599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de rosas brancas</w:t>
      </w:r>
    </w:p>
    <w:p w14:paraId="3D8158B0" w14:textId="77777777" w:rsidR="00DF3CEA" w:rsidRPr="002B4822" w:rsidRDefault="00DF3CEA" w:rsidP="00DF3CEA">
      <w:pPr>
        <w:rPr>
          <w:rFonts w:ascii="Candara" w:eastAsia="Arial Unicode MS" w:hAnsi="Candara" w:cs="Arial Unicode MS"/>
          <w:sz w:val="20"/>
          <w:szCs w:val="20"/>
        </w:rPr>
      </w:pPr>
      <w:r w:rsidRPr="002B4822">
        <w:rPr>
          <w:rFonts w:ascii="Candara" w:eastAsia="Arial Unicode MS" w:hAnsi="Candara" w:cs="Arial Unicode MS"/>
          <w:sz w:val="20"/>
          <w:szCs w:val="20"/>
        </w:rPr>
        <w:t>coroados.</w:t>
      </w:r>
    </w:p>
    <w:p w14:paraId="26342411" w14:textId="77777777" w:rsidR="00BE6428" w:rsidRDefault="00BE6428" w:rsidP="002D107C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395868A2" w14:textId="77777777" w:rsidR="002D107C" w:rsidRPr="003D2F37" w:rsidRDefault="00BE6428" w:rsidP="002D107C">
      <w:pPr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3D2F37">
        <w:rPr>
          <w:rFonts w:ascii="Candara" w:eastAsia="Arial Unicode MS" w:hAnsi="Candara" w:cs="Calibri"/>
          <w:color w:val="000000" w:themeColor="text1"/>
          <w:sz w:val="20"/>
          <w:szCs w:val="20"/>
        </w:rPr>
        <w:t>Maria Eulália Macedo</w:t>
      </w:r>
    </w:p>
    <w:p w14:paraId="0FB2DB22" w14:textId="77777777" w:rsidR="00BE6428" w:rsidRDefault="00BE6428">
      <w:pPr>
        <w:rPr>
          <w:rFonts w:ascii="Candara" w:eastAsia="Arial Unicode MS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/>
          <w:smallCaps/>
          <w:color w:val="000000" w:themeColor="text1"/>
          <w:sz w:val="20"/>
          <w:szCs w:val="20"/>
        </w:rPr>
        <w:br w:type="page"/>
      </w:r>
    </w:p>
    <w:p w14:paraId="5B8D5761" w14:textId="77777777" w:rsidR="00C72E1A" w:rsidRPr="003D2F37" w:rsidRDefault="002C20D5" w:rsidP="00786A8F">
      <w:pPr>
        <w:spacing w:after="0" w:line="360" w:lineRule="auto"/>
        <w:jc w:val="both"/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</w:pPr>
      <w:r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lastRenderedPageBreak/>
        <w:t xml:space="preserve">1. </w:t>
      </w:r>
      <w:r w:rsidR="00C72E1A"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t>mergulho em profundidade</w:t>
      </w:r>
    </w:p>
    <w:p w14:paraId="585E0EA3" w14:textId="77777777" w:rsidR="00201F2D" w:rsidRDefault="00201F2D" w:rsidP="00786A8F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000000" w:themeColor="text1"/>
          <w:sz w:val="20"/>
          <w:szCs w:val="20"/>
        </w:rPr>
      </w:pPr>
    </w:p>
    <w:p w14:paraId="2B645A5C" w14:textId="1D44EB63" w:rsidR="00786A8F" w:rsidRPr="001F401D" w:rsidRDefault="00950C1B" w:rsidP="00786A8F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000000" w:themeColor="text1"/>
          <w:sz w:val="20"/>
          <w:szCs w:val="20"/>
        </w:rPr>
      </w:pPr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O </w:t>
      </w:r>
      <w:r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percurso quaresmal encontra o seu cumprimento no Trí</w:t>
      </w:r>
      <w:r w:rsidR="003D2F37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duo Pascal, particularmente na g</w:t>
      </w:r>
      <w:r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rande Vigília </w:t>
      </w:r>
      <w:r w:rsidR="00763829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d</w:t>
      </w:r>
      <w:r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a Noite Santa</w:t>
      </w:r>
      <w:r w:rsidR="00763829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da Páscoa</w:t>
      </w:r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: </w:t>
      </w:r>
      <w:r w:rsidR="0068241A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celebrando os</w:t>
      </w:r>
      <w:r w:rsidR="003D2F3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sacramentos da iniciação cristã</w:t>
      </w:r>
      <w:r w:rsidR="0068241A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ou </w:t>
      </w:r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renovando as promessas batismais, reafirmamos que Cristo é o Senhor da nossa vida, daquela vida que Deus nos comunicou quando renascemos «da água e do Espírito Santo» e </w:t>
      </w:r>
      <w:r w:rsidR="00776F63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(</w:t>
      </w:r>
      <w:proofErr w:type="spellStart"/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re</w:t>
      </w:r>
      <w:proofErr w:type="spellEnd"/>
      <w:r w:rsidR="00776F63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)</w:t>
      </w:r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confirmamos o nosso firme compromisso em corresponder à ação da </w:t>
      </w:r>
      <w:r w:rsidR="00BF409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g</w:t>
      </w:r>
      <w:r w:rsidRPr="00950C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raça para sermos seus discípulos.</w:t>
      </w:r>
      <w:r w:rsidR="00BF409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</w:t>
      </w:r>
    </w:p>
    <w:p w14:paraId="43EB386A" w14:textId="77777777" w:rsidR="00786A8F" w:rsidRDefault="00786A8F" w:rsidP="00786A8F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</w:p>
    <w:p w14:paraId="31E00ECE" w14:textId="77777777" w:rsidR="007714ED" w:rsidRPr="003D2F37" w:rsidRDefault="002C20D5" w:rsidP="00786A8F">
      <w:pPr>
        <w:spacing w:after="0" w:line="360" w:lineRule="auto"/>
        <w:jc w:val="both"/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</w:pPr>
      <w:r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t xml:space="preserve">2. Os ritos </w:t>
      </w:r>
      <w:r w:rsidR="007714ED"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t xml:space="preserve">imediatamente </w:t>
      </w:r>
      <w:r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t xml:space="preserve">preparatórios </w:t>
      </w:r>
    </w:p>
    <w:p w14:paraId="7BA4B592" w14:textId="77777777" w:rsidR="007714ED" w:rsidRDefault="007714ED" w:rsidP="00786A8F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</w:p>
    <w:p w14:paraId="78D69FD7" w14:textId="77777777" w:rsidR="0019001B" w:rsidRDefault="00786A8F" w:rsidP="00786A8F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Se houver catecúmenos, a sugestão do RICA é que, nos casos onde for possível reunir os eleitos no Sábado Santo</w:t>
      </w:r>
      <w:r w:rsidR="0070062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, a fim de se prepararem, no recolhimento e na oração, </w:t>
      </w:r>
      <w:r w:rsidR="00CF5EA4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para receberem os sacramentos</w:t>
      </w:r>
      <w:r w:rsidR="00346E3E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, </w:t>
      </w:r>
      <w:r w:rsidR="001900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se </w:t>
      </w:r>
      <w:r w:rsidR="00346E3E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prop</w:t>
      </w:r>
      <w:r w:rsidR="001900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onham</w:t>
      </w:r>
      <w:r w:rsidR="00346E3E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os ritos da Redição do Símbolo (RICA 194-</w:t>
      </w:r>
      <w:r w:rsidR="00DE45D2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199), do </w:t>
      </w:r>
      <w:r w:rsidR="00DE45D2" w:rsidRPr="008E7BD0">
        <w:rPr>
          <w:rFonts w:ascii="Candara" w:eastAsia="Arial Unicode MS" w:hAnsi="Candara" w:cs="Calibri"/>
          <w:bCs/>
          <w:i/>
          <w:iCs/>
          <w:color w:val="000000" w:themeColor="text1"/>
          <w:sz w:val="20"/>
          <w:szCs w:val="20"/>
        </w:rPr>
        <w:t>Effathá</w:t>
      </w:r>
      <w:r w:rsidR="00DE45D2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(RICA 200</w:t>
      </w:r>
      <w:r w:rsidR="00785BCC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-202)</w:t>
      </w:r>
      <w:r w:rsidR="005F66E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, da escolha do nome </w:t>
      </w:r>
      <w:r w:rsidR="00CB7D31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cristão, se </w:t>
      </w:r>
      <w:r w:rsidR="008E7BD0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tal </w:t>
      </w:r>
      <w:r w:rsidR="00CB7D31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for costume (RICA 203-</w:t>
      </w:r>
      <w:r w:rsidR="00C8001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205)</w:t>
      </w:r>
      <w:r w:rsidR="003D2F3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,</w:t>
      </w:r>
      <w:r w:rsidR="00C8001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</w:t>
      </w:r>
      <w:r w:rsidR="00F323A9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e da unção com óleo dos catecúmenos (</w:t>
      </w:r>
      <w:r w:rsidR="005F66E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RICA 206-207). </w:t>
      </w:r>
    </w:p>
    <w:p w14:paraId="5CBEFA68" w14:textId="77777777" w:rsidR="0019001B" w:rsidRDefault="0019001B" w:rsidP="00786A8F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</w:p>
    <w:p w14:paraId="25995900" w14:textId="77777777" w:rsidR="007714ED" w:rsidRPr="003D2F37" w:rsidRDefault="007714ED" w:rsidP="00786A8F">
      <w:pPr>
        <w:spacing w:after="0" w:line="360" w:lineRule="auto"/>
        <w:jc w:val="both"/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</w:pPr>
      <w:r w:rsidRPr="003D2F37">
        <w:rPr>
          <w:rFonts w:ascii="Candara" w:eastAsia="Arial Unicode MS" w:hAnsi="Candara" w:cs="Calibri"/>
          <w:b/>
          <w:caps/>
          <w:color w:val="000000" w:themeColor="text1"/>
          <w:sz w:val="20"/>
          <w:szCs w:val="20"/>
        </w:rPr>
        <w:t>3. Sugestões litúrgicas</w:t>
      </w:r>
    </w:p>
    <w:p w14:paraId="06F81A16" w14:textId="77777777" w:rsidR="007714ED" w:rsidRDefault="007714ED" w:rsidP="00786A8F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</w:p>
    <w:p w14:paraId="770D8399" w14:textId="77777777" w:rsidR="000065DE" w:rsidRDefault="00EC04F3" w:rsidP="006D190D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Nunca é de mais acentuar a importância nuclear, para todos, das celebrações do </w:t>
      </w:r>
      <w:r w:rsidR="003D2F3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Tríduo Pascal, que está para o a</w:t>
      </w:r>
      <w:r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no litúrgico como o </w:t>
      </w:r>
      <w:r w:rsidR="003D2F3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d</w:t>
      </w:r>
      <w:r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omingo para a semana.</w:t>
      </w:r>
      <w:r w:rsidR="00942F5C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Não é conveniente que outras propostas</w:t>
      </w:r>
      <w:r w:rsidR="0085473C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pastorais se sobreponham ou concorram com </w:t>
      </w:r>
      <w:r w:rsidR="001D2A54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as celebrações do Tríduo Pascal</w:t>
      </w:r>
      <w:r w:rsidR="00502A79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. </w:t>
      </w:r>
    </w:p>
    <w:p w14:paraId="5C7E7AF8" w14:textId="77777777" w:rsidR="000065DE" w:rsidRDefault="000065DE" w:rsidP="006D190D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</w:p>
    <w:p w14:paraId="7B4055A1" w14:textId="7806FEEA" w:rsidR="008E7BD0" w:rsidRPr="001A22AB" w:rsidRDefault="000D5B00" w:rsidP="006D190D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Para que estas não sejam «engolidas» pelas férias da Páscoa, importa criar alguns dinamismos </w:t>
      </w:r>
      <w:r w:rsidR="009E1E91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que estimulem a participação</w:t>
      </w:r>
      <w:r w:rsidR="00D026D6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, sobretudo</w:t>
      </w:r>
      <w:r w:rsidR="009E1E91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</w:t>
      </w:r>
      <w:r w:rsidR="00F26648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dos catequizandos</w:t>
      </w:r>
      <w:r w:rsidR="00442D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, atribuindo-lhes funções e lugares próprios nas diversas celebrações</w:t>
      </w:r>
      <w:r w:rsidR="00F26648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: no lava-pés, na adoração eucarística, n</w:t>
      </w:r>
      <w:r w:rsidR="00442D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a celebração da Paixão, na </w:t>
      </w:r>
      <w:r w:rsidR="00D026D6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via-sacra, na organização da Vigília Pascal. </w:t>
      </w:r>
      <w:r w:rsidR="008E7BD0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Alguns exemplos: </w:t>
      </w:r>
      <w:r w:rsidR="00C8001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convidar os catecúmenos a tomar parte no rito do lava-pés, como </w:t>
      </w:r>
      <w:r w:rsidR="0096511D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uma espécie de</w:t>
      </w:r>
      <w:r w:rsidR="001A6530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“lavagem” preparatória para o grande lavacro do Batismo</w:t>
      </w:r>
      <w:r w:rsidR="00F406A8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, para a celebração do Crisma e para a participação </w:t>
      </w:r>
      <w:r w:rsidR="0019001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plena </w:t>
      </w:r>
      <w:r w:rsidR="00F406A8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da mesa eucarística</w:t>
      </w:r>
      <w:r w:rsidR="008E7BD0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; c</w:t>
      </w:r>
      <w:r w:rsidR="008461E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onvidar as crianças, que vão fazer a </w:t>
      </w:r>
      <w:r w:rsidR="003D2F37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Primeira C</w:t>
      </w:r>
      <w:r w:rsidR="008461EF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omunhão, a participar n</w:t>
      </w:r>
      <w:r w:rsidR="00B93C1D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a </w:t>
      </w:r>
      <w:r w:rsidR="00B93C1D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Missa da Ceia do Senh</w:t>
      </w:r>
      <w:r w:rsidR="008E7BD0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or; </w:t>
      </w:r>
      <w:r w:rsidR="00D026D6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convidar os </w:t>
      </w:r>
      <w:r w:rsidR="008E7BD0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catequizandos do 6.º ano (que têm a sua Profissão de Fé) e até os demais fiéis a trazer as suas velas do Batismo, para a Vigília Pascal; propor aos </w:t>
      </w:r>
      <w:r w:rsidR="00D026D6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adolescentes do 8.º ano, que terão</w:t>
      </w:r>
      <w:r w:rsidR="000065DE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em breve</w:t>
      </w:r>
      <w:r w:rsidR="00D026D6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a sua Festa da Vida, </w:t>
      </w:r>
      <w:r w:rsidR="0093355F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a </w:t>
      </w:r>
      <w:r w:rsidR="00DA1325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participa</w:t>
      </w:r>
      <w:r w:rsidR="008E7BD0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ção</w:t>
      </w:r>
      <w:r w:rsidR="00DA1325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no rito da adoração da Cruz</w:t>
      </w:r>
      <w:r w:rsidR="007C565C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; envolver os </w:t>
      </w:r>
      <w:r w:rsidR="001F4AA9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crismandos</w:t>
      </w:r>
      <w:r w:rsidR="007C565C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na Visita Pascal</w:t>
      </w:r>
      <w:r w:rsidR="003D2F37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,</w:t>
      </w:r>
      <w:r w:rsidR="007C565C" w:rsidRPr="001A22AB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etc.</w:t>
      </w:r>
    </w:p>
    <w:p w14:paraId="6E220403" w14:textId="77777777" w:rsidR="00C72E1A" w:rsidRDefault="00C72E1A" w:rsidP="006D190D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A00D11D" w14:textId="77777777" w:rsidR="008C086B" w:rsidRPr="008E7BD0" w:rsidRDefault="00786A8F" w:rsidP="006D190D">
      <w:p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Nas celebrações litúrgicas d</w:t>
      </w:r>
      <w:r w:rsidR="0019001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 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emana </w:t>
      </w:r>
      <w:r w:rsidR="0019001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Santa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não nos limitemos à mera contemplação do que Jesus fez; mergulhemos </w:t>
      </w:r>
      <w:r w:rsidR="007C565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em profundidade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no próprio mistério pascal, para morrer e ressuscitar com Cristo. </w:t>
      </w:r>
      <w:r w:rsidR="00860BF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É d</w:t>
      </w:r>
      <w:r w:rsidR="00BD5F1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escendo ao mistério da morte que podemos subir, com Cristo, até às fontes da vida. </w:t>
      </w:r>
    </w:p>
    <w:p w14:paraId="7C632045" w14:textId="77777777" w:rsidR="008C086B" w:rsidRDefault="008C086B" w:rsidP="006D190D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01D9F600" w14:textId="77777777" w:rsidR="006D190D" w:rsidRPr="00D01B7C" w:rsidRDefault="006D190D" w:rsidP="006D190D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sectPr w:rsidR="006D190D" w:rsidRPr="00D01B7C" w:rsidSect="0099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EE8D1" w14:textId="77777777" w:rsidR="00F46AA6" w:rsidRDefault="00F46AA6" w:rsidP="008337C1">
      <w:pPr>
        <w:spacing w:after="0" w:line="240" w:lineRule="auto"/>
      </w:pPr>
      <w:r>
        <w:separator/>
      </w:r>
    </w:p>
  </w:endnote>
  <w:endnote w:type="continuationSeparator" w:id="0">
    <w:p w14:paraId="16A2D39C" w14:textId="77777777" w:rsidR="00F46AA6" w:rsidRDefault="00F46AA6" w:rsidP="0083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5466D" w14:textId="77777777" w:rsidR="00F46AA6" w:rsidRDefault="00F46AA6" w:rsidP="008337C1">
      <w:pPr>
        <w:spacing w:after="0" w:line="240" w:lineRule="auto"/>
      </w:pPr>
      <w:r>
        <w:separator/>
      </w:r>
    </w:p>
  </w:footnote>
  <w:footnote w:type="continuationSeparator" w:id="0">
    <w:p w14:paraId="6F7392CE" w14:textId="77777777" w:rsidR="00F46AA6" w:rsidRDefault="00F46AA6" w:rsidP="0083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90D"/>
    <w:rsid w:val="000065DE"/>
    <w:rsid w:val="000D5B00"/>
    <w:rsid w:val="00181886"/>
    <w:rsid w:val="0019001B"/>
    <w:rsid w:val="001A22AB"/>
    <w:rsid w:val="001A6530"/>
    <w:rsid w:val="001B11AF"/>
    <w:rsid w:val="001C0D93"/>
    <w:rsid w:val="001D2A54"/>
    <w:rsid w:val="001F401D"/>
    <w:rsid w:val="001F4AA9"/>
    <w:rsid w:val="00201F2D"/>
    <w:rsid w:val="00227638"/>
    <w:rsid w:val="00235EE4"/>
    <w:rsid w:val="00241D41"/>
    <w:rsid w:val="00293D10"/>
    <w:rsid w:val="002B4822"/>
    <w:rsid w:val="002C20D5"/>
    <w:rsid w:val="002D107C"/>
    <w:rsid w:val="002E181B"/>
    <w:rsid w:val="00346E3E"/>
    <w:rsid w:val="00362FD7"/>
    <w:rsid w:val="003B27CE"/>
    <w:rsid w:val="003D2F37"/>
    <w:rsid w:val="0041204A"/>
    <w:rsid w:val="00442DAB"/>
    <w:rsid w:val="004F0F4F"/>
    <w:rsid w:val="00502A79"/>
    <w:rsid w:val="00565F1A"/>
    <w:rsid w:val="005F66EF"/>
    <w:rsid w:val="0068232A"/>
    <w:rsid w:val="0068241A"/>
    <w:rsid w:val="006D190D"/>
    <w:rsid w:val="00700627"/>
    <w:rsid w:val="00763829"/>
    <w:rsid w:val="007714ED"/>
    <w:rsid w:val="00776F63"/>
    <w:rsid w:val="00781FC8"/>
    <w:rsid w:val="00783606"/>
    <w:rsid w:val="00785BCC"/>
    <w:rsid w:val="00786A8F"/>
    <w:rsid w:val="007C565C"/>
    <w:rsid w:val="00824C0B"/>
    <w:rsid w:val="008337C1"/>
    <w:rsid w:val="008461EF"/>
    <w:rsid w:val="0085473C"/>
    <w:rsid w:val="00860BF0"/>
    <w:rsid w:val="00862D98"/>
    <w:rsid w:val="008B574B"/>
    <w:rsid w:val="008C086B"/>
    <w:rsid w:val="008E7BD0"/>
    <w:rsid w:val="009105B5"/>
    <w:rsid w:val="0093355F"/>
    <w:rsid w:val="009347A8"/>
    <w:rsid w:val="00942F5C"/>
    <w:rsid w:val="00950C1B"/>
    <w:rsid w:val="0096511D"/>
    <w:rsid w:val="009960AE"/>
    <w:rsid w:val="009E1E91"/>
    <w:rsid w:val="00AC3A09"/>
    <w:rsid w:val="00B019A3"/>
    <w:rsid w:val="00B71AA4"/>
    <w:rsid w:val="00B928B4"/>
    <w:rsid w:val="00B93C1D"/>
    <w:rsid w:val="00BD5F12"/>
    <w:rsid w:val="00BE6428"/>
    <w:rsid w:val="00BF409F"/>
    <w:rsid w:val="00C42DEB"/>
    <w:rsid w:val="00C72E1A"/>
    <w:rsid w:val="00C8001F"/>
    <w:rsid w:val="00CB7D31"/>
    <w:rsid w:val="00CD7E78"/>
    <w:rsid w:val="00CF5EA4"/>
    <w:rsid w:val="00D01C35"/>
    <w:rsid w:val="00D026D6"/>
    <w:rsid w:val="00D314E4"/>
    <w:rsid w:val="00D700D5"/>
    <w:rsid w:val="00DA1325"/>
    <w:rsid w:val="00DE1849"/>
    <w:rsid w:val="00DE45D2"/>
    <w:rsid w:val="00DF3CEA"/>
    <w:rsid w:val="00EA384B"/>
    <w:rsid w:val="00EC04F3"/>
    <w:rsid w:val="00EC67B9"/>
    <w:rsid w:val="00F21607"/>
    <w:rsid w:val="00F26648"/>
    <w:rsid w:val="00F323A9"/>
    <w:rsid w:val="00F406A8"/>
    <w:rsid w:val="00F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F84B1"/>
  <w15:docId w15:val="{B6926F77-2D29-452A-AF65-1C3ABD4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0D"/>
  </w:style>
  <w:style w:type="paragraph" w:styleId="Ttulo1">
    <w:name w:val="heading 1"/>
    <w:basedOn w:val="Normal"/>
    <w:next w:val="Normal"/>
    <w:link w:val="Ttulo1Carter"/>
    <w:qFormat/>
    <w:rsid w:val="00AC3A09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37C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37C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37C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20D5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AC3A09"/>
    <w:rPr>
      <w:rFonts w:ascii="Courier New" w:eastAsia="Times New Roman" w:hAnsi="Courier New" w:cs="Times New Roman"/>
      <w:b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9EAF-F053-4190-B9DC-40C7186D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7</cp:revision>
  <dcterms:created xsi:type="dcterms:W3CDTF">2020-01-07T09:28:00Z</dcterms:created>
  <dcterms:modified xsi:type="dcterms:W3CDTF">2020-01-25T09:52:00Z</dcterms:modified>
</cp:coreProperties>
</file>